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C15" w:rsidRDefault="008B3C15" w:rsidP="008B3C15">
      <w:pPr>
        <w:spacing w:after="0" w:line="360" w:lineRule="auto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s-AR"/>
        </w:rPr>
        <w:drawing>
          <wp:inline distT="0" distB="0" distL="0" distR="0">
            <wp:extent cx="2228850" cy="566765"/>
            <wp:effectExtent l="19050" t="0" r="0" b="0"/>
            <wp:docPr id="1" name="0 Imagen" descr="SCOP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OPES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56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695" w:rsidRPr="008B3C15" w:rsidRDefault="00425695" w:rsidP="008B3C15">
      <w:pPr>
        <w:spacing w:after="0" w:line="360" w:lineRule="auto"/>
        <w:jc w:val="center"/>
        <w:rPr>
          <w:b/>
          <w:sz w:val="40"/>
          <w:szCs w:val="40"/>
        </w:rPr>
      </w:pPr>
      <w:r w:rsidRPr="008B3C15">
        <w:rPr>
          <w:b/>
          <w:sz w:val="40"/>
          <w:szCs w:val="40"/>
        </w:rPr>
        <w:t>2015: un año marcado por el calor de las elecciones</w:t>
      </w:r>
    </w:p>
    <w:p w:rsidR="00530B84" w:rsidRDefault="00D6483E">
      <w:r>
        <w:t xml:space="preserve">De acuerdo con información de Scopesi, el año 2015 </w:t>
      </w:r>
      <w:r w:rsidR="0033234F">
        <w:t xml:space="preserve">cerró con </w:t>
      </w:r>
      <w:r>
        <w:t xml:space="preserve">un crecimiento de la </w:t>
      </w:r>
      <w:r w:rsidR="0033234F">
        <w:t>inversión</w:t>
      </w:r>
      <w:r w:rsidR="0002341C">
        <w:t xml:space="preserve"> </w:t>
      </w:r>
      <w:r>
        <w:t>(</w:t>
      </w:r>
      <w:r w:rsidR="0002341C">
        <w:t>bruta</w:t>
      </w:r>
      <w:r>
        <w:t>)</w:t>
      </w:r>
      <w:r w:rsidR="0002341C">
        <w:t xml:space="preserve"> </w:t>
      </w:r>
      <w:r>
        <w:t xml:space="preserve">del </w:t>
      </w:r>
      <w:r w:rsidR="003F7C13">
        <w:t>34</w:t>
      </w:r>
      <w:r w:rsidR="00326B74">
        <w:t xml:space="preserve"> por ciento</w:t>
      </w:r>
      <w:r>
        <w:t xml:space="preserve"> con respecto a </w:t>
      </w:r>
      <w:r w:rsidR="003F7C13">
        <w:t>2014</w:t>
      </w:r>
      <w:r>
        <w:t xml:space="preserve">, </w:t>
      </w:r>
      <w:r w:rsidR="005471B8">
        <w:t>llegando a monto de 4.416 mil millones de pesos</w:t>
      </w:r>
      <w:r w:rsidR="00563500">
        <w:t xml:space="preserve"> (en 201</w:t>
      </w:r>
      <w:r w:rsidR="00BB6DE4">
        <w:t>4</w:t>
      </w:r>
      <w:r w:rsidR="00563500">
        <w:t xml:space="preserve"> fue de 3.297 millones)</w:t>
      </w:r>
      <w:r w:rsidR="005471B8">
        <w:t xml:space="preserve">. </w:t>
      </w:r>
      <w:r w:rsidR="005471B8" w:rsidRPr="008024D9">
        <w:t>Teniendo en cuenta que la inflación de 2015 fue de alrededor del 27 por ci</w:t>
      </w:r>
      <w:r w:rsidR="00BB6DE4" w:rsidRPr="008024D9">
        <w:t xml:space="preserve">ento </w:t>
      </w:r>
      <w:r w:rsidR="005471B8" w:rsidRPr="008024D9">
        <w:t>según consultoras privadas, la inversión no solo creció por este efecto sino porque los anunciantes efectivam</w:t>
      </w:r>
      <w:r w:rsidR="00326B74" w:rsidRPr="008024D9">
        <w:t>ente volcaron más recursos en</w:t>
      </w:r>
      <w:r w:rsidR="005471B8" w:rsidRPr="008024D9">
        <w:t xml:space="preserve"> la publicidad exterior.</w:t>
      </w:r>
    </w:p>
    <w:p w:rsidR="003F7C13" w:rsidRDefault="00FF4A86">
      <w:r>
        <w:rPr>
          <w:noProof/>
          <w:lang w:eastAsia="es-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180340</wp:posOffset>
            </wp:positionH>
            <wp:positionV relativeFrom="paragraph">
              <wp:posOffset>1474470</wp:posOffset>
            </wp:positionV>
            <wp:extent cx="6429375" cy="4486275"/>
            <wp:effectExtent l="19050" t="0" r="9525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48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71B8">
        <w:t>Era de esperar que el r</w:t>
      </w:r>
      <w:r w:rsidR="003F7C13">
        <w:t>ubro “Asociaciones Políticas y Civiles” fue</w:t>
      </w:r>
      <w:r w:rsidR="005471B8">
        <w:t>ra</w:t>
      </w:r>
      <w:r w:rsidR="003F7C13">
        <w:t xml:space="preserve"> el gran protagonista de</w:t>
      </w:r>
      <w:r w:rsidR="00231210">
        <w:t xml:space="preserve"> 2015, </w:t>
      </w:r>
      <w:r w:rsidR="005471B8">
        <w:t xml:space="preserve">con las </w:t>
      </w:r>
      <w:r w:rsidR="003F7C13">
        <w:t xml:space="preserve">campañas electorales </w:t>
      </w:r>
      <w:r w:rsidR="005471B8">
        <w:t xml:space="preserve">como </w:t>
      </w:r>
      <w:r w:rsidR="002B185B">
        <w:t>destacado</w:t>
      </w:r>
      <w:r w:rsidR="005471B8">
        <w:t xml:space="preserve"> en las calles </w:t>
      </w:r>
      <w:r w:rsidR="003F7C13">
        <w:t>y avenidas</w:t>
      </w:r>
      <w:r w:rsidR="005F65D1">
        <w:t xml:space="preserve"> de </w:t>
      </w:r>
      <w:r w:rsidR="005471B8">
        <w:t>ciudad de Buenos Aires y el Conurbano</w:t>
      </w:r>
      <w:r w:rsidR="00530B84">
        <w:t xml:space="preserve">. </w:t>
      </w:r>
      <w:r w:rsidR="002F26B7">
        <w:t xml:space="preserve">Este sector ocupó primer puesto en los ránkings </w:t>
      </w:r>
      <w:r w:rsidR="008A1644">
        <w:t xml:space="preserve">mensuales de inversiones hasta </w:t>
      </w:r>
      <w:r w:rsidR="002F26B7">
        <w:t>octubre inclusive, rele</w:t>
      </w:r>
      <w:r w:rsidR="005471B8">
        <w:t xml:space="preserve">gando al Rubro “Comunicaciones”, que suele ser el principal contribuyente al </w:t>
      </w:r>
      <w:r w:rsidR="008A1644">
        <w:t xml:space="preserve">segundo puesto. </w:t>
      </w:r>
      <w:r w:rsidR="005471B8">
        <w:t xml:space="preserve">Una vez concluido el período electoral, durante </w:t>
      </w:r>
      <w:r w:rsidR="008A1644">
        <w:t xml:space="preserve">noviembre, </w:t>
      </w:r>
      <w:r w:rsidR="005471B8">
        <w:t xml:space="preserve">este rubro retomó el primer </w:t>
      </w:r>
      <w:r w:rsidR="002B185B">
        <w:t>lugar</w:t>
      </w:r>
      <w:r w:rsidR="005471B8">
        <w:t xml:space="preserve">, coincidiendo con las </w:t>
      </w:r>
      <w:r w:rsidR="008A1644">
        <w:t>campañas tel</w:t>
      </w:r>
      <w:r w:rsidR="00151979">
        <w:t>efónicas de fin de año.</w:t>
      </w:r>
    </w:p>
    <w:p w:rsidR="002B185B" w:rsidRDefault="005471B8">
      <w:r>
        <w:lastRenderedPageBreak/>
        <w:t xml:space="preserve">Con el 19 por ciento del share anual, el rubro </w:t>
      </w:r>
      <w:r w:rsidR="00563500">
        <w:t>“</w:t>
      </w:r>
      <w:r>
        <w:t>Asociaciones Políticas y Civiles</w:t>
      </w:r>
      <w:r w:rsidR="00563500">
        <w:t>” se llevó el primer puesto y logró más que duplicar la inversión publicitaria con respecto a 2014. E</w:t>
      </w:r>
      <w:r w:rsidR="002B185B">
        <w:t>l partido que gobernó  hasta fines de 2015 - Frente para la Victoria -</w:t>
      </w:r>
      <w:r w:rsidR="00563500">
        <w:t xml:space="preserve"> y Presidencia de la Nación fueron los anunciantes que se ubicaron en primer y segundo lugar, respectivamente, como los que más invirtieron en publicidad exterior. En el cuarto puesto apareció la Alianza Cambiemos y en el séptimo, Frente Renovador. </w:t>
      </w:r>
    </w:p>
    <w:p w:rsidR="00563500" w:rsidRDefault="00563500">
      <w:r>
        <w:t xml:space="preserve">Lógicamente los tres partidos políticos dominantes (FPV, AC, FR) tuvieron crecimientos significativos con respecto a su inversión publicitaria </w:t>
      </w:r>
      <w:r w:rsidR="005C77DA">
        <w:t>en comparación</w:t>
      </w:r>
      <w:r>
        <w:t xml:space="preserve"> a</w:t>
      </w:r>
      <w:r w:rsidR="005C77DA">
        <w:t>l</w:t>
      </w:r>
      <w:r>
        <w:t xml:space="preserve"> 2014. </w:t>
      </w:r>
    </w:p>
    <w:p w:rsidR="00425695" w:rsidRDefault="005C77DA">
      <w:r>
        <w:t>Por su parte, e</w:t>
      </w:r>
      <w:r w:rsidR="00563500">
        <w:t xml:space="preserve">l rubro “Comunicaciones”, habituado  a permanecer en el primer puesto, hasta </w:t>
      </w:r>
      <w:r w:rsidR="00563500" w:rsidRPr="008024D9">
        <w:t xml:space="preserve">octubre estuvo en el segundo </w:t>
      </w:r>
      <w:r w:rsidRPr="008024D9">
        <w:t>lugar</w:t>
      </w:r>
      <w:r w:rsidR="00563500" w:rsidRPr="008024D9">
        <w:t xml:space="preserve"> </w:t>
      </w:r>
      <w:r w:rsidR="00425695" w:rsidRPr="008024D9">
        <w:t>y ocupó el 11 por ciento de la torta</w:t>
      </w:r>
      <w:r w:rsidR="00563500" w:rsidRPr="008024D9">
        <w:t xml:space="preserve">. </w:t>
      </w:r>
      <w:r w:rsidR="00425695" w:rsidRPr="008024D9">
        <w:t xml:space="preserve">Telecom se ubicó en el tercer </w:t>
      </w:r>
      <w:r w:rsidR="00A374CA" w:rsidRPr="008024D9">
        <w:t>escalón</w:t>
      </w:r>
      <w:r w:rsidR="00425695" w:rsidRPr="008024D9">
        <w:t xml:space="preserve"> </w:t>
      </w:r>
      <w:r w:rsidRPr="008024D9">
        <w:t xml:space="preserve">de los principales anunciantes, lo siguió América Móvil y bastante más atrás, </w:t>
      </w:r>
      <w:r w:rsidR="00A374CA" w:rsidRPr="008024D9">
        <w:t>Grupo T</w:t>
      </w:r>
      <w:r w:rsidR="00C06523" w:rsidRPr="008024D9">
        <w:t>elefónica.</w:t>
      </w:r>
      <w:r w:rsidR="00CA44E5" w:rsidRPr="008024D9">
        <w:t xml:space="preserve"> En cuanto a números, la inversión del sector alcanzó los 504 millones de pesos (en</w:t>
      </w:r>
      <w:r w:rsidR="00CA44E5">
        <w:t xml:space="preserve"> 2014 fueron 395 millones).</w:t>
      </w:r>
    </w:p>
    <w:p w:rsidR="00FF4A86" w:rsidRDefault="00FF4A86">
      <w:r>
        <w:rPr>
          <w:noProof/>
          <w:lang w:eastAsia="es-AR"/>
        </w:rPr>
        <w:drawing>
          <wp:inline distT="0" distB="0" distL="0" distR="0">
            <wp:extent cx="6260844" cy="4743450"/>
            <wp:effectExtent l="0" t="0" r="6985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arativo por anuncian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6459" cy="4747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695" w:rsidRDefault="00425695">
      <w:r>
        <w:t xml:space="preserve">Con respecto a los formatos, los “Espectaculares” se llevaron un 44 por ciento de los anuncios, seguido por “Gigantografías y Séxtuples”, con 25 por ciento, y “Afiches”, con 16 por ciento.  Los “Espectaculares” tuvieron un </w:t>
      </w:r>
      <w:r w:rsidR="00A374CA">
        <w:t>incremento del 42 por ciento</w:t>
      </w:r>
      <w:r>
        <w:t xml:space="preserve"> con respecto a 2014, mientras que los demás formatos </w:t>
      </w:r>
      <w:r w:rsidR="00563500">
        <w:t xml:space="preserve"> </w:t>
      </w:r>
      <w:r>
        <w:t xml:space="preserve">crecieron de manera más equilibrada. </w:t>
      </w:r>
    </w:p>
    <w:p w:rsidR="00FF4A86" w:rsidRDefault="00FF4A86">
      <w:r>
        <w:rPr>
          <w:noProof/>
          <w:lang w:eastAsia="es-AR"/>
        </w:rPr>
        <w:lastRenderedPageBreak/>
        <w:drawing>
          <wp:inline distT="0" distB="0" distL="0" distR="0">
            <wp:extent cx="5962423" cy="4572000"/>
            <wp:effectExtent l="0" t="0" r="63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arativo por vehicul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4448" cy="4573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A86" w:rsidRDefault="00FF4A86"/>
    <w:p w:rsidR="001000CC" w:rsidRDefault="008F527D">
      <w:r>
        <w:t>Como todo año netamente político, sucedió que algunos Anunciantes – si bien siguieron apostando al Medio y pautaron como lo hacen tradicionalmente, otro</w:t>
      </w:r>
      <w:r w:rsidR="009063BF">
        <w:t xml:space="preserve">s optaron por una planificación estratégica donde </w:t>
      </w:r>
      <w:r w:rsidR="002B03B7">
        <w:t xml:space="preserve">se volcaron </w:t>
      </w:r>
      <w:r w:rsidR="009063BF">
        <w:t>a los grandes formatos y ubicaciones en altura. De est</w:t>
      </w:r>
      <w:r w:rsidR="00422844">
        <w:t xml:space="preserve">a manera </w:t>
      </w:r>
      <w:r w:rsidR="002B03B7">
        <w:t>relegaron</w:t>
      </w:r>
      <w:r w:rsidR="00422844">
        <w:t xml:space="preserve"> el papel</w:t>
      </w:r>
      <w:r w:rsidR="009063BF">
        <w:t>, que es el material con mayor demanda por parte de las campañas políticas.</w:t>
      </w:r>
    </w:p>
    <w:p w:rsidR="009063BF" w:rsidRDefault="00422844">
      <w:r>
        <w:t>Por ejemplo, Sectores como Comunicaciones, Espectáculos y Discográficas, Bancos y Finanzas y Alimentación continuaron con su política de pauta en la vía pública</w:t>
      </w:r>
      <w:r w:rsidR="00601489">
        <w:t xml:space="preserve"> tradicionales</w:t>
      </w:r>
      <w:r>
        <w:t xml:space="preserve">, a pesar del año electoral. Por otro lado, </w:t>
      </w:r>
      <w:r w:rsidR="00601489">
        <w:t>los que modificaron</w:t>
      </w:r>
      <w:r>
        <w:t xml:space="preserve"> </w:t>
      </w:r>
      <w:r w:rsidR="00601489">
        <w:t>su estrategia de Medios</w:t>
      </w:r>
      <w:r>
        <w:t xml:space="preserve"> </w:t>
      </w:r>
      <w:r w:rsidR="00601489">
        <w:t xml:space="preserve">fueron </w:t>
      </w:r>
      <w:r>
        <w:t xml:space="preserve"> Comercio y Retail, Medios, Bebidas (con y sin alcohol) y Calzado e Indumentaria.</w:t>
      </w:r>
      <w:bookmarkStart w:id="0" w:name="_GoBack"/>
      <w:bookmarkEnd w:id="0"/>
    </w:p>
    <w:p w:rsidR="00C32106" w:rsidRDefault="008B3C15">
      <w:r>
        <w:pict>
          <v:rect id="_x0000_i1025" style="width:0;height:1.5pt" o:hralign="center" o:hrstd="t" o:hr="t" fillcolor="#a0a0a0" stroked="f"/>
        </w:pict>
      </w:r>
    </w:p>
    <w:p w:rsidR="00253691" w:rsidRDefault="00253691"/>
    <w:sectPr w:rsidR="00253691" w:rsidSect="008B3C15">
      <w:pgSz w:w="12240" w:h="15840"/>
      <w:pgMar w:top="1417" w:right="900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234F"/>
    <w:rsid w:val="0002341C"/>
    <w:rsid w:val="001000CC"/>
    <w:rsid w:val="00151979"/>
    <w:rsid w:val="002108E5"/>
    <w:rsid w:val="00231210"/>
    <w:rsid w:val="00253691"/>
    <w:rsid w:val="002A6E38"/>
    <w:rsid w:val="002B03B7"/>
    <w:rsid w:val="002B185B"/>
    <w:rsid w:val="002F26B7"/>
    <w:rsid w:val="00326B74"/>
    <w:rsid w:val="0033234F"/>
    <w:rsid w:val="003F7C13"/>
    <w:rsid w:val="00422844"/>
    <w:rsid w:val="00425695"/>
    <w:rsid w:val="00462620"/>
    <w:rsid w:val="00487275"/>
    <w:rsid w:val="004E750C"/>
    <w:rsid w:val="00530B84"/>
    <w:rsid w:val="005471B8"/>
    <w:rsid w:val="00563500"/>
    <w:rsid w:val="005A76D3"/>
    <w:rsid w:val="005C77DA"/>
    <w:rsid w:val="005F65D1"/>
    <w:rsid w:val="00601489"/>
    <w:rsid w:val="006E43C1"/>
    <w:rsid w:val="00735619"/>
    <w:rsid w:val="008024D9"/>
    <w:rsid w:val="0084688E"/>
    <w:rsid w:val="008A1644"/>
    <w:rsid w:val="008B3C15"/>
    <w:rsid w:val="008F527D"/>
    <w:rsid w:val="009063BF"/>
    <w:rsid w:val="009B197A"/>
    <w:rsid w:val="00A374CA"/>
    <w:rsid w:val="00AC1EB8"/>
    <w:rsid w:val="00AE4B89"/>
    <w:rsid w:val="00B67BFD"/>
    <w:rsid w:val="00BB6DE4"/>
    <w:rsid w:val="00BD015A"/>
    <w:rsid w:val="00BE733A"/>
    <w:rsid w:val="00C06523"/>
    <w:rsid w:val="00C23565"/>
    <w:rsid w:val="00C32106"/>
    <w:rsid w:val="00CA44E5"/>
    <w:rsid w:val="00D6483E"/>
    <w:rsid w:val="00E06BC0"/>
    <w:rsid w:val="00E56CE8"/>
    <w:rsid w:val="00ED2780"/>
    <w:rsid w:val="00F56EF6"/>
    <w:rsid w:val="00FF4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88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4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483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4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483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496</Words>
  <Characters>2729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Tango</cp:lastModifiedBy>
  <cp:revision>2</cp:revision>
  <dcterms:created xsi:type="dcterms:W3CDTF">2016-03-01T19:56:00Z</dcterms:created>
  <dcterms:modified xsi:type="dcterms:W3CDTF">2016-03-01T19:56:00Z</dcterms:modified>
</cp:coreProperties>
</file>