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97" w:rsidRDefault="00EC2FB9" w:rsidP="00AC0694">
      <w:pPr>
        <w:jc w:val="right"/>
        <w:rPr>
          <w:rFonts w:ascii="Century Gothic" w:hAnsi="Century Gothic"/>
          <w:color w:val="365F91" w:themeColor="accent1" w:themeShade="BF"/>
        </w:rPr>
      </w:pPr>
      <w:r>
        <w:rPr>
          <w:rFonts w:ascii="Century Gothic" w:hAnsi="Century Gothic"/>
          <w:noProof/>
          <w:color w:val="365F91" w:themeColor="accent1" w:themeShade="BF"/>
        </w:rPr>
        <w:drawing>
          <wp:inline distT="0" distB="0" distL="0" distR="0">
            <wp:extent cx="2210304" cy="762174"/>
            <wp:effectExtent l="19050" t="0" r="0" b="0"/>
            <wp:docPr id="1" name="0 Imagen" descr="af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p.png"/>
                    <pic:cNvPicPr/>
                  </pic:nvPicPr>
                  <pic:blipFill>
                    <a:blip r:embed="rId5" cstate="print"/>
                    <a:stretch>
                      <a:fillRect/>
                    </a:stretch>
                  </pic:blipFill>
                  <pic:spPr>
                    <a:xfrm>
                      <a:off x="0" y="0"/>
                      <a:ext cx="2210304" cy="762174"/>
                    </a:xfrm>
                    <a:prstGeom prst="rect">
                      <a:avLst/>
                    </a:prstGeom>
                  </pic:spPr>
                </pic:pic>
              </a:graphicData>
            </a:graphic>
          </wp:inline>
        </w:drawing>
      </w:r>
    </w:p>
    <w:p w:rsidR="00AC0694" w:rsidRDefault="00AC0694" w:rsidP="00EC2FB9">
      <w:pPr>
        <w:rPr>
          <w:rFonts w:ascii="Century Gothic" w:hAnsi="Century Gothic"/>
          <w:color w:val="365F91" w:themeColor="accent1" w:themeShade="BF"/>
        </w:rPr>
      </w:pPr>
    </w:p>
    <w:p w:rsidR="00AC0694" w:rsidRPr="00EC2FB9" w:rsidRDefault="00AC0694" w:rsidP="00AC0694">
      <w:pPr>
        <w:pStyle w:val="Ttulo3"/>
        <w:spacing w:before="0" w:beforeAutospacing="0" w:after="0" w:afterAutospacing="0"/>
        <w:rPr>
          <w:rStyle w:val="texto-nota1"/>
          <w:rFonts w:ascii="Century Gothic" w:hAnsi="Century Gothic"/>
          <w:color w:val="365F91" w:themeColor="accent1" w:themeShade="BF"/>
          <w:sz w:val="28"/>
          <w:szCs w:val="28"/>
        </w:rPr>
      </w:pPr>
      <w:r w:rsidRPr="00EC2FB9">
        <w:rPr>
          <w:rFonts w:ascii="Century Gothic" w:eastAsia="Times New Roman" w:hAnsi="Century Gothic"/>
          <w:bCs w:val="0"/>
          <w:color w:val="365F91" w:themeColor="accent1" w:themeShade="BF"/>
          <w:sz w:val="28"/>
          <w:szCs w:val="28"/>
        </w:rPr>
        <w:t>BLANQUEO DE CAPITALES</w:t>
      </w:r>
    </w:p>
    <w:p w:rsidR="00AC0694" w:rsidRPr="00EC2FB9" w:rsidRDefault="00AC0694" w:rsidP="00AC0694">
      <w:pPr>
        <w:jc w:val="both"/>
        <w:rPr>
          <w:rFonts w:ascii="Century Gothic" w:hAnsi="Century Gothic"/>
          <w:color w:val="365F91" w:themeColor="accent1" w:themeShade="BF"/>
        </w:rPr>
      </w:pPr>
    </w:p>
    <w:p w:rsidR="00EC2FB9" w:rsidRDefault="00EC2FB9" w:rsidP="00EC2FB9">
      <w:pPr>
        <w:rPr>
          <w:rFonts w:ascii="Century Gothic" w:hAnsi="Century Gothic"/>
          <w:color w:val="365F91" w:themeColor="accent1" w:themeShade="BF"/>
        </w:rPr>
      </w:pPr>
    </w:p>
    <w:p w:rsidR="00EC2FB9" w:rsidRPr="00EC2FB9" w:rsidRDefault="00EC2FB9" w:rsidP="00AC0694">
      <w:pPr>
        <w:rPr>
          <w:rFonts w:ascii="Century Gothic" w:hAnsi="Century Gothic"/>
          <w:color w:val="365F91" w:themeColor="accent1" w:themeShade="BF"/>
        </w:rPr>
      </w:pPr>
      <w:r>
        <w:rPr>
          <w:rFonts w:ascii="Century Gothic" w:hAnsi="Century Gothic"/>
          <w:noProof/>
          <w:color w:val="365F91" w:themeColor="accent1" w:themeShade="BF"/>
        </w:rPr>
        <w:drawing>
          <wp:inline distT="0" distB="0" distL="0" distR="0">
            <wp:extent cx="2886075" cy="2161770"/>
            <wp:effectExtent l="19050" t="0" r="9525" b="0"/>
            <wp:docPr id="2" name="1 Imagen" descr="ALBERTO 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 ABAD.jpg"/>
                    <pic:cNvPicPr/>
                  </pic:nvPicPr>
                  <pic:blipFill>
                    <a:blip r:embed="rId6" cstate="print"/>
                    <a:stretch>
                      <a:fillRect/>
                    </a:stretch>
                  </pic:blipFill>
                  <pic:spPr>
                    <a:xfrm>
                      <a:off x="0" y="0"/>
                      <a:ext cx="2886075" cy="2161770"/>
                    </a:xfrm>
                    <a:prstGeom prst="rect">
                      <a:avLst/>
                    </a:prstGeom>
                  </pic:spPr>
                </pic:pic>
              </a:graphicData>
            </a:graphic>
          </wp:inline>
        </w:drawing>
      </w:r>
      <w:r w:rsidRPr="00EC2FB9">
        <w:rPr>
          <w:rFonts w:ascii="Century Gothic" w:hAnsi="Century Gothic"/>
          <w:color w:val="365F91" w:themeColor="accent1" w:themeShade="BF"/>
        </w:rPr>
        <w:t xml:space="preserve">La Administración Federal de Ingresos Públicos (AFIP) comenzará, a partir de este lunes, a comunicar a los contribuyentes sobre presuntas </w:t>
      </w:r>
      <w:r w:rsidRPr="00EC2FB9">
        <w:rPr>
          <w:rStyle w:val="Textoennegrita"/>
          <w:rFonts w:ascii="Century Gothic" w:hAnsi="Century Gothic"/>
          <w:color w:val="365F91" w:themeColor="accent1" w:themeShade="BF"/>
        </w:rPr>
        <w:t>"inconsistencias fiscales"</w:t>
      </w:r>
      <w:r w:rsidRPr="00EC2FB9">
        <w:rPr>
          <w:rFonts w:ascii="Century Gothic" w:hAnsi="Century Gothic"/>
          <w:color w:val="365F91" w:themeColor="accent1" w:themeShade="BF"/>
        </w:rPr>
        <w:t xml:space="preserve"> que surgen de la información que el organismo ya tiene incorporada en su</w:t>
      </w:r>
      <w:r w:rsidRPr="00EC2FB9">
        <w:rPr>
          <w:rStyle w:val="Textoennegrita"/>
          <w:rFonts w:ascii="Century Gothic" w:hAnsi="Century Gothic"/>
          <w:color w:val="365F91" w:themeColor="accent1" w:themeShade="BF"/>
        </w:rPr>
        <w:t xml:space="preserve"> base de datos.</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 xml:space="preserve">Esa información será publicada en el </w:t>
      </w:r>
      <w:hyperlink r:id="rId7" w:tgtFrame="_blank" w:history="1">
        <w:r w:rsidRPr="00EC2FB9">
          <w:rPr>
            <w:rStyle w:val="Hipervnculo"/>
            <w:rFonts w:ascii="Century Gothic" w:hAnsi="Century Gothic"/>
            <w:color w:val="365F91" w:themeColor="accent1" w:themeShade="BF"/>
            <w:u w:val="none"/>
          </w:rPr>
          <w:t>link</w:t>
        </w:r>
      </w:hyperlink>
      <w:r>
        <w:rPr>
          <w:rFonts w:ascii="Century Gothic" w:hAnsi="Century Gothic"/>
          <w:color w:val="365F91" w:themeColor="accent1" w:themeShade="BF"/>
        </w:rPr>
        <w:t xml:space="preserve"> </w:t>
      </w:r>
      <w:hyperlink r:id="rId8" w:tgtFrame="_blank" w:history="1">
        <w:r w:rsidRPr="00EC2FB9">
          <w:rPr>
            <w:rStyle w:val="Hipervnculo"/>
            <w:rFonts w:ascii="Century Gothic" w:hAnsi="Century Gothic"/>
            <w:b/>
            <w:bCs/>
            <w:color w:val="365F91" w:themeColor="accent1" w:themeShade="BF"/>
          </w:rPr>
          <w:t xml:space="preserve"> "Nuestra parte"</w:t>
        </w:r>
      </w:hyperlink>
      <w:r w:rsidRPr="00EC2FB9">
        <w:rPr>
          <w:rStyle w:val="Textoennegrita"/>
          <w:rFonts w:ascii="Century Gothic" w:hAnsi="Century Gothic"/>
          <w:color w:val="365F91" w:themeColor="accent1" w:themeShade="BF"/>
        </w:rPr>
        <w:t xml:space="preserve"> </w:t>
      </w:r>
      <w:r w:rsidRPr="00EC2FB9">
        <w:rPr>
          <w:rFonts w:ascii="Century Gothic" w:hAnsi="Century Gothic"/>
          <w:color w:val="365F91" w:themeColor="accent1" w:themeShade="BF"/>
        </w:rPr>
        <w:t>que cada contribuyente tiene ingresando a través de su clave fiscal al sitio de la AFIP. Esta es una de las</w:t>
      </w:r>
      <w:r w:rsidRPr="00EC2FB9">
        <w:rPr>
          <w:rStyle w:val="Textoennegrita"/>
          <w:rFonts w:ascii="Century Gothic" w:hAnsi="Century Gothic"/>
          <w:color w:val="365F91" w:themeColor="accent1" w:themeShade="BF"/>
        </w:rPr>
        <w:t xml:space="preserve"> tareas de inducción</w:t>
      </w:r>
      <w:r w:rsidRPr="00EC2FB9">
        <w:rPr>
          <w:rFonts w:ascii="Century Gothic" w:hAnsi="Century Gothic"/>
          <w:color w:val="365F91" w:themeColor="accent1" w:themeShade="BF"/>
        </w:rPr>
        <w:t xml:space="preserve"> que encara el organismo recaudador para persuadir a los contribuyentes a adherirse al blanqueo que está operativo desde el 1 de agosto hasta el 31 de marzo de </w:t>
      </w:r>
      <w:proofErr w:type="gramStart"/>
      <w:r w:rsidRPr="00EC2FB9">
        <w:rPr>
          <w:rFonts w:ascii="Century Gothic" w:hAnsi="Century Gothic"/>
          <w:color w:val="365F91" w:themeColor="accent1" w:themeShade="BF"/>
        </w:rPr>
        <w:t>2017 .</w:t>
      </w:r>
      <w:proofErr w:type="gramEnd"/>
    </w:p>
    <w:p w:rsid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La AFIP contrastará las declaraciones realizadas por cada contribuyente con datos suministrados por otras fuentes de información como</w:t>
      </w:r>
      <w:r w:rsidRPr="00EC2FB9">
        <w:rPr>
          <w:rStyle w:val="Textoennegrita"/>
          <w:rFonts w:ascii="Century Gothic" w:hAnsi="Century Gothic"/>
          <w:color w:val="365F91" w:themeColor="accent1" w:themeShade="BF"/>
        </w:rPr>
        <w:t xml:space="preserve"> bancos, tarjetas de crédito</w:t>
      </w:r>
      <w:r w:rsidRPr="00EC2FB9">
        <w:rPr>
          <w:rFonts w:ascii="Century Gothic" w:hAnsi="Century Gothic"/>
          <w:color w:val="365F91" w:themeColor="accent1" w:themeShade="BF"/>
        </w:rPr>
        <w:t xml:space="preserve">, compañías de seguros, y luego, en caso, de surgir desfasajes se hará la correspondiente comunicación. </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En este sentido, el director de la AFIP, Alberto Abad, reveló la semana pasada que el organismo ya constató la existencia de 1.526 propiedades de argentinos en Uruguay que no han sido declaradas.</w:t>
      </w:r>
    </w:p>
    <w:p w:rsid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Desde este lunes aparecerá un "alerta" a manera de</w:t>
      </w:r>
      <w:r w:rsidRPr="00EC2FB9">
        <w:rPr>
          <w:rStyle w:val="Textoennegrita"/>
          <w:rFonts w:ascii="Century Gothic" w:hAnsi="Century Gothic"/>
          <w:color w:val="365F91" w:themeColor="accent1" w:themeShade="BF"/>
        </w:rPr>
        <w:t xml:space="preserve"> tres solapas</w:t>
      </w:r>
      <w:r w:rsidRPr="00EC2FB9">
        <w:rPr>
          <w:rFonts w:ascii="Century Gothic" w:hAnsi="Century Gothic"/>
          <w:color w:val="365F91" w:themeColor="accent1" w:themeShade="BF"/>
        </w:rPr>
        <w:t xml:space="preserve"> en el sitio web personal. </w:t>
      </w:r>
    </w:p>
    <w:p w:rsidR="00EC2FB9" w:rsidRPr="00EC2FB9" w:rsidRDefault="00EC2FB9" w:rsidP="00EC2FB9">
      <w:pPr>
        <w:pStyle w:val="Prrafodelista"/>
        <w:numPr>
          <w:ilvl w:val="0"/>
          <w:numId w:val="1"/>
        </w:num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 xml:space="preserve">Una solapa tendrá que ver con los datos encontrados que puedan ser útiles para que el contribuyente ingrese al régimen de exteriorización de activos. </w:t>
      </w:r>
    </w:p>
    <w:p w:rsidR="00EC2FB9" w:rsidRPr="00EC2FB9" w:rsidRDefault="00EC2FB9" w:rsidP="00EC2FB9">
      <w:pPr>
        <w:pStyle w:val="Prrafodelista"/>
        <w:numPr>
          <w:ilvl w:val="0"/>
          <w:numId w:val="1"/>
        </w:numPr>
        <w:spacing w:before="100" w:beforeAutospacing="1" w:after="100" w:afterAutospacing="1" w:line="255" w:lineRule="atLeast"/>
        <w:rPr>
          <w:rStyle w:val="Textoennegrita"/>
          <w:rFonts w:ascii="Century Gothic" w:hAnsi="Century Gothic"/>
          <w:color w:val="365F91" w:themeColor="accent1" w:themeShade="BF"/>
        </w:rPr>
      </w:pPr>
      <w:r w:rsidRPr="00EC2FB9">
        <w:rPr>
          <w:rFonts w:ascii="Century Gothic" w:hAnsi="Century Gothic"/>
          <w:color w:val="365F91" w:themeColor="accent1" w:themeShade="BF"/>
        </w:rPr>
        <w:t xml:space="preserve">Otra con datos relacionados a la </w:t>
      </w:r>
      <w:r w:rsidRPr="00EC2FB9">
        <w:rPr>
          <w:rStyle w:val="Textoennegrita"/>
          <w:rFonts w:ascii="Century Gothic" w:hAnsi="Century Gothic"/>
          <w:color w:val="365F91" w:themeColor="accent1" w:themeShade="BF"/>
        </w:rPr>
        <w:t>moratoria impositiva</w:t>
      </w:r>
    </w:p>
    <w:p w:rsidR="00EC2FB9" w:rsidRPr="00EC2FB9" w:rsidRDefault="00EC2FB9" w:rsidP="00EC2FB9">
      <w:pPr>
        <w:pStyle w:val="Prrafodelista"/>
        <w:numPr>
          <w:ilvl w:val="0"/>
          <w:numId w:val="1"/>
        </w:num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La tercera dará cuenta si el contribuyente se encuentra en regla y si puede tener acceso a beneficios del nuevo régimen de Sinceramiento Fiscal.</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i/>
          <w:color w:val="365F91" w:themeColor="accent1" w:themeShade="BF"/>
        </w:rPr>
        <w:lastRenderedPageBreak/>
        <w:t xml:space="preserve">"Nosotros aportamos </w:t>
      </w:r>
      <w:r w:rsidRPr="00EC2FB9">
        <w:rPr>
          <w:rStyle w:val="Textoennegrita"/>
          <w:rFonts w:ascii="Century Gothic" w:hAnsi="Century Gothic"/>
          <w:i/>
          <w:color w:val="365F91" w:themeColor="accent1" w:themeShade="BF"/>
        </w:rPr>
        <w:t>un piso de información</w:t>
      </w:r>
      <w:r w:rsidRPr="00EC2FB9">
        <w:rPr>
          <w:rFonts w:ascii="Century Gothic" w:hAnsi="Century Gothic"/>
          <w:i/>
          <w:color w:val="365F91" w:themeColor="accent1" w:themeShade="BF"/>
        </w:rPr>
        <w:t xml:space="preserve"> que detectamos de cada contribuyente, a modo de aviso. Ahora bien, es responsabilidad de cada contribuyente actualizar su situación ante el fisco",</w:t>
      </w:r>
      <w:r w:rsidRPr="00EC2FB9">
        <w:rPr>
          <w:rFonts w:ascii="Century Gothic" w:hAnsi="Century Gothic"/>
          <w:color w:val="365F91" w:themeColor="accent1" w:themeShade="BF"/>
        </w:rPr>
        <w:t xml:space="preserve"> señalaron fuentes de la AFIP.</w:t>
      </w:r>
    </w:p>
    <w:p w:rsidR="00EC2FB9" w:rsidRDefault="00EC2FB9" w:rsidP="00EC2FB9">
      <w:pPr>
        <w:spacing w:before="100" w:beforeAutospacing="1" w:after="100" w:afterAutospacing="1" w:line="255" w:lineRule="atLeast"/>
        <w:rPr>
          <w:rStyle w:val="Textoennegrita"/>
          <w:rFonts w:ascii="Century Gothic" w:hAnsi="Century Gothic"/>
          <w:color w:val="365F91" w:themeColor="accent1" w:themeShade="BF"/>
        </w:rPr>
      </w:pPr>
      <w:r w:rsidRPr="00EC2FB9">
        <w:rPr>
          <w:rStyle w:val="Textoennegrita"/>
          <w:rFonts w:ascii="Century Gothic" w:hAnsi="Century Gothic"/>
          <w:color w:val="365F91" w:themeColor="accent1" w:themeShade="BF"/>
        </w:rPr>
        <w:t>Menor monto</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Pidiendo un turno por Internet, a los contribuyentes que deben blanquear hasta $305.000, la AFIP </w:t>
      </w:r>
      <w:r w:rsidRPr="00EC2FB9">
        <w:rPr>
          <w:rStyle w:val="Textoennegrita"/>
          <w:rFonts w:ascii="Century Gothic" w:hAnsi="Century Gothic"/>
          <w:color w:val="365F91" w:themeColor="accent1" w:themeShade="BF"/>
        </w:rPr>
        <w:t>les hará el trámite </w:t>
      </w:r>
      <w:r w:rsidRPr="00EC2FB9">
        <w:rPr>
          <w:rFonts w:ascii="Century Gothic" w:hAnsi="Century Gothic"/>
          <w:color w:val="365F91" w:themeColor="accent1" w:themeShade="BF"/>
        </w:rPr>
        <w:t>directamente, y sólo deberán </w:t>
      </w:r>
      <w:r w:rsidRPr="00EC2FB9">
        <w:rPr>
          <w:rStyle w:val="Textoennegrita"/>
          <w:rFonts w:ascii="Century Gothic" w:hAnsi="Century Gothic"/>
          <w:color w:val="365F91" w:themeColor="accent1" w:themeShade="BF"/>
        </w:rPr>
        <w:t>llevar la documentación</w:t>
      </w:r>
      <w:r w:rsidRPr="00EC2FB9">
        <w:rPr>
          <w:rFonts w:ascii="Century Gothic" w:hAnsi="Century Gothic"/>
          <w:color w:val="365F91" w:themeColor="accent1" w:themeShade="BF"/>
        </w:rPr>
        <w:t> necesaria, la que se les informará en el momento de pedir el turno.</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Este trámite se hará solamente en la </w:t>
      </w:r>
      <w:r w:rsidRPr="00EC2FB9">
        <w:rPr>
          <w:rStyle w:val="Textoennegrita"/>
          <w:rFonts w:ascii="Century Gothic" w:hAnsi="Century Gothic"/>
          <w:color w:val="365F91" w:themeColor="accent1" w:themeShade="BF"/>
        </w:rPr>
        <w:t>Sede Central</w:t>
      </w:r>
      <w:r w:rsidRPr="00EC2FB9">
        <w:rPr>
          <w:rFonts w:ascii="Century Gothic" w:hAnsi="Century Gothic"/>
          <w:color w:val="365F91" w:themeColor="accent1" w:themeShade="BF"/>
        </w:rPr>
        <w:t> del organismo. En general, un importe tan bajo sólo incluirá</w:t>
      </w:r>
      <w:r>
        <w:rPr>
          <w:rFonts w:ascii="Century Gothic" w:hAnsi="Century Gothic"/>
          <w:color w:val="365F91" w:themeColor="accent1" w:themeShade="BF"/>
        </w:rPr>
        <w:t xml:space="preserve"> </w:t>
      </w:r>
      <w:r w:rsidRPr="00EC2FB9">
        <w:rPr>
          <w:rStyle w:val="Textoennegrita"/>
          <w:rFonts w:ascii="Century Gothic" w:hAnsi="Century Gothic"/>
          <w:color w:val="365F91" w:themeColor="accent1" w:themeShade="BF"/>
        </w:rPr>
        <w:t>dinero en efectivo</w:t>
      </w:r>
      <w:r w:rsidRPr="00EC2FB9">
        <w:rPr>
          <w:rFonts w:ascii="Century Gothic" w:hAnsi="Century Gothic"/>
          <w:color w:val="365F91" w:themeColor="accent1" w:themeShade="BF"/>
        </w:rPr>
        <w:t> en el país que deberá ser depositado en una cuenta bancaria para ser blanqueado, calculan los funcionarios.</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El micrositio </w:t>
      </w:r>
      <w:hyperlink r:id="rId9" w:tgtFrame="_blank" w:history="1">
        <w:r w:rsidRPr="00EC2FB9">
          <w:rPr>
            <w:rStyle w:val="Hipervnculo"/>
            <w:rFonts w:ascii="Century Gothic" w:hAnsi="Century Gothic"/>
            <w:b/>
            <w:bCs/>
            <w:color w:val="365F91" w:themeColor="accent1" w:themeShade="BF"/>
          </w:rPr>
          <w:t>www.afip.gob.ar/sinceramiento</w:t>
        </w:r>
      </w:hyperlink>
      <w:r w:rsidRPr="00EC2FB9">
        <w:rPr>
          <w:rStyle w:val="Textoennegrita"/>
          <w:rFonts w:ascii="Century Gothic" w:hAnsi="Century Gothic"/>
          <w:color w:val="365F91" w:themeColor="accent1" w:themeShade="BF"/>
        </w:rPr>
        <w:t> </w:t>
      </w:r>
      <w:r w:rsidRPr="00EC2FB9">
        <w:rPr>
          <w:rFonts w:ascii="Century Gothic" w:hAnsi="Century Gothic"/>
          <w:color w:val="365F91" w:themeColor="accent1" w:themeShade="BF"/>
        </w:rPr>
        <w:t>será el punto de soporte de </w:t>
      </w:r>
      <w:r w:rsidRPr="00EC2FB9">
        <w:rPr>
          <w:rStyle w:val="Textoennegrita"/>
          <w:rFonts w:ascii="Century Gothic" w:hAnsi="Century Gothic"/>
          <w:color w:val="365F91" w:themeColor="accent1" w:themeShade="BF"/>
        </w:rPr>
        <w:t>todo el blanqueo</w:t>
      </w:r>
      <w:r w:rsidRPr="00EC2FB9">
        <w:rPr>
          <w:rFonts w:ascii="Century Gothic" w:hAnsi="Century Gothic"/>
          <w:color w:val="365F91" w:themeColor="accent1" w:themeShade="BF"/>
        </w:rPr>
        <w:t> y la moratoria, no sólo para los contribuyentes sino incluso para las Agencias de la AFIP. Tendrá un cuadro </w:t>
      </w:r>
      <w:r w:rsidRPr="00EC2FB9">
        <w:rPr>
          <w:rStyle w:val="Textoennegrita"/>
          <w:rFonts w:ascii="Century Gothic" w:hAnsi="Century Gothic"/>
          <w:color w:val="365F91" w:themeColor="accent1" w:themeShade="BF"/>
        </w:rPr>
        <w:t>para realizar consultas </w:t>
      </w:r>
      <w:r w:rsidRPr="00EC2FB9">
        <w:rPr>
          <w:rFonts w:ascii="Century Gothic" w:hAnsi="Century Gothic"/>
          <w:color w:val="365F91" w:themeColor="accent1" w:themeShade="BF"/>
        </w:rPr>
        <w:t>en forma anónima y todos los días </w:t>
      </w:r>
      <w:r w:rsidRPr="00EC2FB9">
        <w:rPr>
          <w:rStyle w:val="Textoennegrita"/>
          <w:rFonts w:ascii="Century Gothic" w:hAnsi="Century Gothic"/>
          <w:color w:val="365F91" w:themeColor="accent1" w:themeShade="BF"/>
        </w:rPr>
        <w:t>se renovarán las respuestas </w:t>
      </w:r>
      <w:r w:rsidRPr="00EC2FB9">
        <w:rPr>
          <w:rFonts w:ascii="Century Gothic" w:hAnsi="Century Gothic"/>
          <w:color w:val="365F91" w:themeColor="accent1" w:themeShade="BF"/>
        </w:rPr>
        <w:t>más frecuentes.</w:t>
      </w:r>
    </w:p>
    <w:p w:rsidR="00EC2FB9" w:rsidRPr="00EC2FB9" w:rsidRDefault="00EC2FB9" w:rsidP="00EC2FB9">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En la AFIP, calculan que sólo 1% de la actividad del blanqueo y la moratoria tendrá que hacerse en</w:t>
      </w:r>
      <w:r w:rsidRPr="00EC2FB9">
        <w:rPr>
          <w:rStyle w:val="Textoennegrita"/>
          <w:rFonts w:ascii="Century Gothic" w:hAnsi="Century Gothic"/>
          <w:color w:val="365F91" w:themeColor="accent1" w:themeShade="BF"/>
        </w:rPr>
        <w:t> alguna dependencia</w:t>
      </w:r>
      <w:r w:rsidRPr="00EC2FB9">
        <w:rPr>
          <w:rFonts w:ascii="Century Gothic" w:hAnsi="Century Gothic"/>
          <w:color w:val="365F91" w:themeColor="accent1" w:themeShade="BF"/>
        </w:rPr>
        <w:t> del organismo, cuando el micrositio le muestre un bien que el contribuyente dice que no tiene o una deuda que tiene en más o en menos, por ejemplo.</w:t>
      </w:r>
    </w:p>
    <w:p w:rsidR="00AC0694" w:rsidRDefault="00EC2FB9" w:rsidP="00AC0694">
      <w:pPr>
        <w:spacing w:before="100" w:beforeAutospacing="1" w:after="100" w:afterAutospacing="1" w:line="255" w:lineRule="atLeast"/>
        <w:rPr>
          <w:rFonts w:ascii="Century Gothic" w:hAnsi="Century Gothic"/>
          <w:color w:val="365F91" w:themeColor="accent1" w:themeShade="BF"/>
        </w:rPr>
      </w:pPr>
      <w:r w:rsidRPr="00EC2FB9">
        <w:rPr>
          <w:rFonts w:ascii="Century Gothic" w:hAnsi="Century Gothic"/>
          <w:color w:val="365F91" w:themeColor="accent1" w:themeShade="BF"/>
        </w:rPr>
        <w:t>Para que la gente no tema al simulador del blanqueo que ya está operativo y al de la moratoria que lo estará en unos días, los funcionarios aconsejan</w:t>
      </w:r>
      <w:r w:rsidRPr="00EC2FB9">
        <w:rPr>
          <w:rStyle w:val="Textoennegrita"/>
          <w:rFonts w:ascii="Century Gothic" w:hAnsi="Century Gothic"/>
          <w:color w:val="365F91" w:themeColor="accent1" w:themeShade="BF"/>
        </w:rPr>
        <w:t> poner los soportes en modo avión</w:t>
      </w:r>
      <w:r w:rsidRPr="00EC2FB9">
        <w:rPr>
          <w:rFonts w:ascii="Century Gothic" w:hAnsi="Century Gothic"/>
          <w:color w:val="365F91" w:themeColor="accent1" w:themeShade="BF"/>
        </w:rPr>
        <w:t>, para asegurar que es anónimo. A partir de hoy</w:t>
      </w:r>
      <w:r w:rsidRPr="00EC2FB9">
        <w:rPr>
          <w:rStyle w:val="Textoennegrita"/>
          <w:rFonts w:ascii="Century Gothic" w:hAnsi="Century Gothic"/>
          <w:color w:val="365F91" w:themeColor="accent1" w:themeShade="BF"/>
        </w:rPr>
        <w:t> serán descargables</w:t>
      </w:r>
      <w:r w:rsidRPr="00EC2FB9">
        <w:rPr>
          <w:rFonts w:ascii="Century Gothic" w:hAnsi="Century Gothic"/>
          <w:color w:val="365F91" w:themeColor="accent1" w:themeShade="BF"/>
        </w:rPr>
        <w:t> en la PC, tablet o celular.</w:t>
      </w:r>
      <w:r w:rsidR="00AC0694">
        <w:rPr>
          <w:rFonts w:ascii="Century Gothic" w:hAnsi="Century Gothic"/>
          <w:color w:val="365F91" w:themeColor="accent1" w:themeShade="BF"/>
        </w:rPr>
        <w:pict>
          <v:rect id="_x0000_i1025" style="width:0;height:1.5pt" o:hralign="center" o:hrstd="t" o:hr="t" fillcolor="#a0a0a0" stroked="f"/>
        </w:pict>
      </w:r>
    </w:p>
    <w:p w:rsidR="00AC0694" w:rsidRPr="00136697" w:rsidRDefault="00AC0694" w:rsidP="00AC0694">
      <w:pPr>
        <w:spacing w:before="100" w:beforeAutospacing="1" w:after="100" w:afterAutospacing="1" w:line="255" w:lineRule="atLeast"/>
        <w:rPr>
          <w:rFonts w:ascii="Century Gothic" w:hAnsi="Century Gothic"/>
          <w:b/>
          <w:color w:val="365F91" w:themeColor="accent1" w:themeShade="BF"/>
          <w:sz w:val="20"/>
          <w:szCs w:val="20"/>
        </w:rPr>
      </w:pPr>
      <w:r w:rsidRPr="00136697">
        <w:rPr>
          <w:rFonts w:ascii="Century Gothic" w:hAnsi="Century Gothic"/>
          <w:b/>
          <w:color w:val="365F91" w:themeColor="accent1" w:themeShade="BF"/>
          <w:sz w:val="20"/>
          <w:szCs w:val="20"/>
        </w:rPr>
        <w:t xml:space="preserve">Fuente: </w:t>
      </w:r>
      <w:proofErr w:type="spellStart"/>
      <w:r w:rsidRPr="00136697">
        <w:rPr>
          <w:rFonts w:ascii="Century Gothic" w:hAnsi="Century Gothic"/>
          <w:b/>
          <w:color w:val="365F91" w:themeColor="accent1" w:themeShade="BF"/>
          <w:sz w:val="20"/>
          <w:szCs w:val="20"/>
        </w:rPr>
        <w:t>iProfesional</w:t>
      </w:r>
      <w:proofErr w:type="spellEnd"/>
    </w:p>
    <w:p w:rsidR="00EC2FB9" w:rsidRPr="00EC2FB9" w:rsidRDefault="00EC2FB9" w:rsidP="00EC2FB9">
      <w:pPr>
        <w:rPr>
          <w:rFonts w:ascii="Century Gothic" w:hAnsi="Century Gothic"/>
          <w:color w:val="365F91" w:themeColor="accent1" w:themeShade="BF"/>
        </w:rPr>
      </w:pPr>
    </w:p>
    <w:sectPr w:rsidR="00EC2FB9" w:rsidRPr="00EC2FB9" w:rsidSect="00EC2FB9">
      <w:pgSz w:w="12240" w:h="15840"/>
      <w:pgMar w:top="1417" w:right="47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598C"/>
    <w:multiLevelType w:val="hybridMultilevel"/>
    <w:tmpl w:val="5464E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FB9"/>
    <w:rsid w:val="00136697"/>
    <w:rsid w:val="00473A57"/>
    <w:rsid w:val="0052542C"/>
    <w:rsid w:val="00AC0694"/>
    <w:rsid w:val="00C40097"/>
    <w:rsid w:val="00E5747A"/>
    <w:rsid w:val="00EC2FB9"/>
    <w:rsid w:val="00FD36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244061" w:themeColor="accent1" w:themeShade="80"/>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B9"/>
    <w:pPr>
      <w:spacing w:after="0" w:line="240" w:lineRule="auto"/>
    </w:pPr>
    <w:rPr>
      <w:rFonts w:ascii="Times New Roman" w:hAnsi="Times New Roman" w:cs="Times New Roman"/>
      <w:color w:val="auto"/>
      <w:szCs w:val="24"/>
      <w:lang w:eastAsia="es-AR"/>
    </w:rPr>
  </w:style>
  <w:style w:type="paragraph" w:styleId="Ttulo3">
    <w:name w:val="heading 3"/>
    <w:basedOn w:val="Normal"/>
    <w:link w:val="Ttulo3Car"/>
    <w:uiPriority w:val="9"/>
    <w:unhideWhenUsed/>
    <w:qFormat/>
    <w:rsid w:val="00EC2FB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2FB9"/>
    <w:rPr>
      <w:rFonts w:ascii="Times New Roman" w:hAnsi="Times New Roman" w:cs="Times New Roman"/>
      <w:b/>
      <w:bCs/>
      <w:color w:val="auto"/>
      <w:sz w:val="27"/>
      <w:szCs w:val="27"/>
      <w:lang w:eastAsia="es-AR"/>
    </w:rPr>
  </w:style>
  <w:style w:type="character" w:styleId="Hipervnculo">
    <w:name w:val="Hyperlink"/>
    <w:basedOn w:val="Fuentedeprrafopredeter"/>
    <w:uiPriority w:val="99"/>
    <w:semiHidden/>
    <w:unhideWhenUsed/>
    <w:rsid w:val="00EC2FB9"/>
    <w:rPr>
      <w:color w:val="0000FF"/>
      <w:u w:val="single"/>
    </w:rPr>
  </w:style>
  <w:style w:type="paragraph" w:customStyle="1" w:styleId="copeteinterior1">
    <w:name w:val="copeteinterior1"/>
    <w:basedOn w:val="Normal"/>
    <w:rsid w:val="00EC2FB9"/>
    <w:pPr>
      <w:spacing w:before="135" w:after="135"/>
      <w:ind w:left="225"/>
    </w:pPr>
    <w:rPr>
      <w:b/>
      <w:bCs/>
      <w:color w:val="000000"/>
      <w:sz w:val="21"/>
      <w:szCs w:val="21"/>
    </w:rPr>
  </w:style>
  <w:style w:type="character" w:customStyle="1" w:styleId="texto-nota1">
    <w:name w:val="texto-nota1"/>
    <w:basedOn w:val="Fuentedeprrafopredeter"/>
    <w:rsid w:val="00EC2FB9"/>
    <w:rPr>
      <w:vanish w:val="0"/>
      <w:webHidden w:val="0"/>
      <w:color w:val="000000"/>
      <w:sz w:val="21"/>
      <w:szCs w:val="21"/>
      <w:specVanish w:val="0"/>
    </w:rPr>
  </w:style>
  <w:style w:type="character" w:styleId="Textoennegrita">
    <w:name w:val="Strong"/>
    <w:basedOn w:val="Fuentedeprrafopredeter"/>
    <w:uiPriority w:val="22"/>
    <w:qFormat/>
    <w:rsid w:val="00EC2FB9"/>
    <w:rPr>
      <w:b/>
      <w:bCs/>
    </w:rPr>
  </w:style>
  <w:style w:type="paragraph" w:styleId="Textodeglobo">
    <w:name w:val="Balloon Text"/>
    <w:basedOn w:val="Normal"/>
    <w:link w:val="TextodegloboCar"/>
    <w:uiPriority w:val="99"/>
    <w:semiHidden/>
    <w:unhideWhenUsed/>
    <w:rsid w:val="00EC2FB9"/>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FB9"/>
    <w:rPr>
      <w:rFonts w:ascii="Tahoma" w:hAnsi="Tahoma" w:cs="Tahoma"/>
      <w:color w:val="auto"/>
      <w:sz w:val="16"/>
      <w:szCs w:val="16"/>
      <w:lang w:eastAsia="es-AR"/>
    </w:rPr>
  </w:style>
  <w:style w:type="paragraph" w:styleId="Prrafodelista">
    <w:name w:val="List Paragraph"/>
    <w:basedOn w:val="Normal"/>
    <w:uiPriority w:val="34"/>
    <w:qFormat/>
    <w:rsid w:val="00EC2FB9"/>
    <w:pPr>
      <w:ind w:left="720"/>
      <w:contextualSpacing/>
    </w:pPr>
  </w:style>
</w:styles>
</file>

<file path=word/webSettings.xml><?xml version="1.0" encoding="utf-8"?>
<w:webSettings xmlns:r="http://schemas.openxmlformats.org/officeDocument/2006/relationships" xmlns:w="http://schemas.openxmlformats.org/wordprocessingml/2006/main">
  <w:divs>
    <w:div w:id="270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v.ar/sitio/externos/default.asp" TargetMode="External"/><Relationship Id="rId3" Type="http://schemas.openxmlformats.org/officeDocument/2006/relationships/settings" Target="settings.xml"/><Relationship Id="rId7" Type="http://schemas.openxmlformats.org/officeDocument/2006/relationships/hyperlink" Target="http://www.afip.gov.ar/sitio/externos/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ip.gob.ar/sinceramiento/default.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1</cp:revision>
  <dcterms:created xsi:type="dcterms:W3CDTF">2016-08-08T17:35:00Z</dcterms:created>
  <dcterms:modified xsi:type="dcterms:W3CDTF">2016-08-08T17:57:00Z</dcterms:modified>
</cp:coreProperties>
</file>